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0"/>
        <w:tblpPr w:leftFromText="180" w:rightFromText="180" w:vertAnchor="text" w:horzAnchor="margin" w:tblpXSpec="center" w:tblpY="-597"/>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1"/>
        <w:gridCol w:w="123"/>
        <w:gridCol w:w="1662"/>
        <w:gridCol w:w="1456"/>
        <w:gridCol w:w="1609"/>
        <w:gridCol w:w="1396"/>
      </w:tblGrid>
      <w:tr w:rsidR="00C64097" w14:paraId="7851678A"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7FBC5D3A" w14:textId="77777777" w:rsidR="00C64097" w:rsidRDefault="00C64097" w:rsidP="00C64097">
            <w:pPr>
              <w:ind w:left="0" w:hanging="2"/>
              <w:textDirection w:val="lrTb"/>
              <w:rPr>
                <w:color w:val="000000"/>
              </w:rPr>
            </w:pPr>
            <w:r>
              <w:rPr>
                <w:b/>
                <w:color w:val="000000"/>
              </w:rPr>
              <w:t xml:space="preserve">Study level: </w:t>
            </w:r>
            <w:r>
              <w:rPr>
                <w:color w:val="000000"/>
              </w:rPr>
              <w:t>Peace, Security and Development</w:t>
            </w:r>
          </w:p>
        </w:tc>
      </w:tr>
      <w:tr w:rsidR="00C64097" w14:paraId="5C8CB31D"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65FE0182" w14:textId="77777777" w:rsidR="00C64097" w:rsidRDefault="00C64097" w:rsidP="00C64097">
            <w:pPr>
              <w:ind w:left="0" w:hanging="2"/>
              <w:textDirection w:val="lrTb"/>
            </w:pPr>
            <w:r>
              <w:rPr>
                <w:b/>
              </w:rPr>
              <w:t xml:space="preserve">Course title: </w:t>
            </w:r>
            <w:r>
              <w:t>Critical Security Studies</w:t>
            </w:r>
          </w:p>
        </w:tc>
      </w:tr>
      <w:tr w:rsidR="00C64097" w14:paraId="174BB3B2"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1CC0460A" w14:textId="77777777" w:rsidR="00C64097" w:rsidRDefault="00C64097" w:rsidP="00C64097">
            <w:pPr>
              <w:ind w:left="0" w:hanging="2"/>
              <w:textDirection w:val="lrTb"/>
            </w:pPr>
            <w:r>
              <w:rPr>
                <w:b/>
              </w:rPr>
              <w:t xml:space="preserve">Professor: </w:t>
            </w:r>
            <w:r>
              <w:t>Prof. Filip Ejdus, PhD; MA Marko Kovačević; MA Tijana Rečević</w:t>
            </w:r>
          </w:p>
        </w:tc>
      </w:tr>
      <w:tr w:rsidR="00C64097" w14:paraId="0A424CBF"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4E3960C5" w14:textId="77777777" w:rsidR="00C64097" w:rsidRDefault="00C64097" w:rsidP="00C64097">
            <w:pPr>
              <w:ind w:left="0" w:hanging="2"/>
              <w:textDirection w:val="lrTb"/>
            </w:pPr>
            <w:r>
              <w:rPr>
                <w:b/>
              </w:rPr>
              <w:t xml:space="preserve">Compulsory/Elective:  </w:t>
            </w:r>
            <w:r>
              <w:t>Compulsory</w:t>
            </w:r>
          </w:p>
        </w:tc>
      </w:tr>
      <w:tr w:rsidR="00C64097" w14:paraId="5035BE11"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2C86F36F" w14:textId="77777777" w:rsidR="00C64097" w:rsidRDefault="00C64097" w:rsidP="00C64097">
            <w:pPr>
              <w:ind w:left="0" w:hanging="2"/>
              <w:textDirection w:val="lrTb"/>
            </w:pPr>
            <w:r>
              <w:rPr>
                <w:b/>
              </w:rPr>
              <w:t xml:space="preserve">Number of ECTS: </w:t>
            </w:r>
            <w:r>
              <w:t>6</w:t>
            </w:r>
          </w:p>
        </w:tc>
      </w:tr>
      <w:tr w:rsidR="00C64097" w14:paraId="24C2AA4A"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38C97CB9" w14:textId="77777777" w:rsidR="00C64097" w:rsidRDefault="00C64097" w:rsidP="00C64097">
            <w:pPr>
              <w:ind w:left="0" w:hanging="2"/>
              <w:textDirection w:val="lrTb"/>
            </w:pPr>
            <w:r>
              <w:rPr>
                <w:b/>
              </w:rPr>
              <w:t>Condition:</w:t>
            </w:r>
          </w:p>
        </w:tc>
      </w:tr>
      <w:tr w:rsidR="00C64097" w14:paraId="64693714"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5B0B8DA2" w14:textId="77777777" w:rsidR="00C64097" w:rsidRDefault="00C64097" w:rsidP="00C64097">
            <w:pPr>
              <w:ind w:left="0" w:hanging="2"/>
              <w:textDirection w:val="lrTb"/>
            </w:pPr>
            <w:r>
              <w:rPr>
                <w:b/>
              </w:rPr>
              <w:t>Aim of the course</w:t>
            </w:r>
          </w:p>
          <w:p w14:paraId="654554E5" w14:textId="77777777" w:rsidR="00C64097" w:rsidRDefault="00C64097" w:rsidP="00C64097">
            <w:pPr>
              <w:ind w:left="0" w:hanging="2"/>
              <w:textDirection w:val="lrTb"/>
            </w:pPr>
          </w:p>
          <w:p w14:paraId="2FD6B540" w14:textId="77777777" w:rsidR="00C64097" w:rsidRDefault="00C64097" w:rsidP="00C64097">
            <w:pPr>
              <w:ind w:left="0" w:hanging="2"/>
              <w:jc w:val="both"/>
              <w:textDirection w:val="lrTb"/>
            </w:pPr>
            <w:r>
              <w:t>The Critical Security Studies course aims to introduce students to critical and alternative approaches in this sub-discipline of International Relations. During the course, students will be introduced to the place of critical approaches within the broader discipline of Security Studies, as well as its key theoretical and methodological directions. In the first part, students will be familiarised with key  theoretical approaches such as constructivism, securitisation theory and the Copenhagen School, critical theory and the Welsh school, gender and feminism, postcolonialism and ontological security studies. In the second section, students will be familiarised with key methodological approaches such as discourse and content analysis, genealogy, ethnographic methods and will read exemplary works which succesfully apply these approaches.</w:t>
            </w:r>
          </w:p>
          <w:p w14:paraId="5AF42CD8" w14:textId="77777777" w:rsidR="00C64097" w:rsidRDefault="00C64097" w:rsidP="00C64097">
            <w:pPr>
              <w:ind w:left="0" w:hanging="2"/>
              <w:textDirection w:val="lrTb"/>
            </w:pPr>
          </w:p>
        </w:tc>
      </w:tr>
      <w:tr w:rsidR="00C64097" w14:paraId="28A511AE"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3372E796" w14:textId="77777777" w:rsidR="00C64097" w:rsidRDefault="00C64097" w:rsidP="00C64097">
            <w:pPr>
              <w:ind w:left="0" w:hanging="2"/>
              <w:textDirection w:val="lrTb"/>
            </w:pPr>
            <w:r>
              <w:rPr>
                <w:b/>
              </w:rPr>
              <w:t>Outcome of the course</w:t>
            </w:r>
          </w:p>
          <w:p w14:paraId="5A2B3FDB" w14:textId="77777777" w:rsidR="00C64097" w:rsidRDefault="00C64097" w:rsidP="00C64097">
            <w:pPr>
              <w:ind w:left="0" w:hanging="2"/>
              <w:textDirection w:val="lrTb"/>
            </w:pPr>
          </w:p>
          <w:p w14:paraId="483D90A5" w14:textId="77777777" w:rsidR="00C64097" w:rsidRDefault="00C64097" w:rsidP="00C64097">
            <w:pPr>
              <w:ind w:left="0" w:hanging="2"/>
              <w:jc w:val="both"/>
              <w:textDirection w:val="lrTb"/>
            </w:pPr>
            <w:r>
              <w:t>The Critical Security Study course is designed to introduce students to key concepts, approaches and debates within the subject sub-discipline. Relying on the literature, students will be able to critically observe the world of security practice, as well as to independently write an academic essay in this field. In addition to the knowledge of the theoretical and methodologiocal approaches and debates, students will develop critical thinking skills as well as writing and presentation skills.</w:t>
            </w:r>
          </w:p>
          <w:p w14:paraId="7CE2ECD8" w14:textId="77777777" w:rsidR="00C64097" w:rsidRDefault="00C64097" w:rsidP="00C64097">
            <w:pPr>
              <w:ind w:left="0" w:hanging="2"/>
              <w:textDirection w:val="lrTb"/>
            </w:pPr>
          </w:p>
        </w:tc>
      </w:tr>
      <w:tr w:rsidR="00C64097" w14:paraId="73CBB8BD"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5FA419C0" w14:textId="77777777" w:rsidR="00C64097" w:rsidRDefault="00C64097" w:rsidP="00C64097">
            <w:pPr>
              <w:ind w:left="0" w:hanging="2"/>
              <w:textDirection w:val="lrTb"/>
            </w:pPr>
            <w:r>
              <w:rPr>
                <w:b/>
              </w:rPr>
              <w:t>Content of the course</w:t>
            </w:r>
          </w:p>
          <w:p w14:paraId="357CB6EA" w14:textId="77777777" w:rsidR="00C64097" w:rsidRDefault="00C64097" w:rsidP="00C64097">
            <w:pPr>
              <w:ind w:left="0" w:hanging="2"/>
              <w:textDirection w:val="lrTb"/>
            </w:pPr>
          </w:p>
          <w:p w14:paraId="0C81F286" w14:textId="77777777" w:rsidR="00C64097" w:rsidRDefault="00C64097" w:rsidP="00C64097">
            <w:pPr>
              <w:ind w:left="0" w:hanging="2"/>
              <w:textDirection w:val="lrTb"/>
            </w:pPr>
            <w:r>
              <w:rPr>
                <w:i/>
              </w:rPr>
              <w:t>Theoretical classes</w:t>
            </w:r>
          </w:p>
          <w:p w14:paraId="7041A50A" w14:textId="77777777" w:rsidR="00C64097" w:rsidRDefault="00C64097" w:rsidP="00C64097">
            <w:pPr>
              <w:ind w:left="0" w:hanging="2"/>
              <w:textDirection w:val="lrTb"/>
            </w:pPr>
          </w:p>
          <w:p w14:paraId="216570D6" w14:textId="77777777" w:rsidR="00C64097" w:rsidRDefault="00C64097" w:rsidP="00C64097">
            <w:pPr>
              <w:numPr>
                <w:ilvl w:val="0"/>
                <w:numId w:val="1"/>
              </w:numPr>
              <w:ind w:left="0" w:hanging="2"/>
              <w:textDirection w:val="lrTb"/>
            </w:pPr>
            <w:r>
              <w:t>Introduction to Critical Security Studies</w:t>
            </w:r>
          </w:p>
          <w:p w14:paraId="4BA6937D" w14:textId="77777777" w:rsidR="00C64097" w:rsidRDefault="00C64097" w:rsidP="00C64097">
            <w:pPr>
              <w:numPr>
                <w:ilvl w:val="0"/>
                <w:numId w:val="1"/>
              </w:numPr>
              <w:ind w:left="0" w:hanging="2"/>
              <w:textDirection w:val="lrTb"/>
            </w:pPr>
            <w:r>
              <w:t>Constructivism</w:t>
            </w:r>
          </w:p>
          <w:p w14:paraId="507502C4" w14:textId="77777777" w:rsidR="00C64097" w:rsidRDefault="00C64097" w:rsidP="00C64097">
            <w:pPr>
              <w:numPr>
                <w:ilvl w:val="0"/>
                <w:numId w:val="1"/>
              </w:numPr>
              <w:ind w:left="0" w:hanging="2"/>
              <w:textDirection w:val="lrTb"/>
            </w:pPr>
            <w:r>
              <w:t>Securitization theory</w:t>
            </w:r>
          </w:p>
          <w:p w14:paraId="33F809AC" w14:textId="77777777" w:rsidR="00C64097" w:rsidRDefault="00C64097" w:rsidP="00C64097">
            <w:pPr>
              <w:numPr>
                <w:ilvl w:val="0"/>
                <w:numId w:val="1"/>
              </w:numPr>
              <w:ind w:left="0" w:hanging="2"/>
              <w:textDirection w:val="lrTb"/>
            </w:pPr>
            <w:r>
              <w:t>Critical theory</w:t>
            </w:r>
          </w:p>
          <w:p w14:paraId="4D97D79C" w14:textId="77777777" w:rsidR="00C64097" w:rsidRDefault="00C64097" w:rsidP="00C64097">
            <w:pPr>
              <w:numPr>
                <w:ilvl w:val="0"/>
                <w:numId w:val="1"/>
              </w:numPr>
              <w:ind w:left="0" w:hanging="2"/>
              <w:textDirection w:val="lrTb"/>
            </w:pPr>
            <w:r>
              <w:t>Gender approaches</w:t>
            </w:r>
          </w:p>
          <w:p w14:paraId="55376A7D" w14:textId="77777777" w:rsidR="00C64097" w:rsidRDefault="00C64097" w:rsidP="00C64097">
            <w:pPr>
              <w:numPr>
                <w:ilvl w:val="0"/>
                <w:numId w:val="1"/>
              </w:numPr>
              <w:ind w:left="0" w:hanging="2"/>
              <w:textDirection w:val="lrTb"/>
            </w:pPr>
            <w:r>
              <w:t>Postcolonialism</w:t>
            </w:r>
          </w:p>
          <w:p w14:paraId="49FD300D" w14:textId="77777777" w:rsidR="00C64097" w:rsidRDefault="00C64097" w:rsidP="00C64097">
            <w:pPr>
              <w:numPr>
                <w:ilvl w:val="0"/>
                <w:numId w:val="1"/>
              </w:numPr>
              <w:ind w:left="0" w:hanging="2"/>
              <w:textDirection w:val="lrTb"/>
            </w:pPr>
            <w:r>
              <w:t>Ontological security</w:t>
            </w:r>
          </w:p>
          <w:p w14:paraId="1129391E" w14:textId="77777777" w:rsidR="00C64097" w:rsidRDefault="00C64097" w:rsidP="00C64097">
            <w:pPr>
              <w:numPr>
                <w:ilvl w:val="0"/>
                <w:numId w:val="1"/>
              </w:numPr>
              <w:ind w:left="0" w:hanging="2"/>
              <w:textDirection w:val="lrTb"/>
            </w:pPr>
            <w:r>
              <w:t>Poststructuralism and International Political Sociology</w:t>
            </w:r>
          </w:p>
          <w:p w14:paraId="7580F7EE" w14:textId="77777777" w:rsidR="00C64097" w:rsidRDefault="00C64097" w:rsidP="00C64097">
            <w:pPr>
              <w:numPr>
                <w:ilvl w:val="0"/>
                <w:numId w:val="1"/>
              </w:numPr>
              <w:ind w:left="0" w:hanging="2"/>
              <w:textDirection w:val="lrTb"/>
            </w:pPr>
            <w:r>
              <w:t>Discourse analysis</w:t>
            </w:r>
          </w:p>
          <w:p w14:paraId="6FB462F7" w14:textId="77777777" w:rsidR="00C64097" w:rsidRDefault="00C64097" w:rsidP="00C64097">
            <w:pPr>
              <w:numPr>
                <w:ilvl w:val="0"/>
                <w:numId w:val="1"/>
              </w:numPr>
              <w:ind w:left="0" w:hanging="2"/>
              <w:textDirection w:val="lrTb"/>
            </w:pPr>
            <w:r>
              <w:t>Content analysis</w:t>
            </w:r>
          </w:p>
          <w:p w14:paraId="76458128" w14:textId="77777777" w:rsidR="00C64097" w:rsidRDefault="00C64097" w:rsidP="00C64097">
            <w:pPr>
              <w:numPr>
                <w:ilvl w:val="0"/>
                <w:numId w:val="1"/>
              </w:numPr>
              <w:ind w:left="0" w:hanging="2"/>
              <w:textDirection w:val="lrTb"/>
            </w:pPr>
            <w:r>
              <w:t>Ethnographic methods</w:t>
            </w:r>
          </w:p>
          <w:p w14:paraId="6378DD3B" w14:textId="77777777" w:rsidR="00C64097" w:rsidRDefault="00C64097" w:rsidP="00C64097">
            <w:pPr>
              <w:numPr>
                <w:ilvl w:val="0"/>
                <w:numId w:val="1"/>
              </w:numPr>
              <w:ind w:left="0" w:hanging="2"/>
              <w:textDirection w:val="lrTb"/>
            </w:pPr>
            <w:r>
              <w:t>Genealogy</w:t>
            </w:r>
          </w:p>
          <w:p w14:paraId="2ECC0A75" w14:textId="77777777" w:rsidR="00C64097" w:rsidRDefault="00C64097" w:rsidP="00C64097">
            <w:pPr>
              <w:numPr>
                <w:ilvl w:val="0"/>
                <w:numId w:val="1"/>
              </w:numPr>
              <w:ind w:left="0" w:hanging="2"/>
              <w:textDirection w:val="lrTb"/>
            </w:pPr>
            <w:r>
              <w:t>Reading week</w:t>
            </w:r>
          </w:p>
          <w:p w14:paraId="64BA052A" w14:textId="77777777" w:rsidR="00C64097" w:rsidRDefault="00C64097" w:rsidP="00C64097">
            <w:pPr>
              <w:numPr>
                <w:ilvl w:val="0"/>
                <w:numId w:val="1"/>
              </w:numPr>
              <w:ind w:left="0" w:hanging="2"/>
              <w:textDirection w:val="lrTb"/>
            </w:pPr>
            <w:r>
              <w:t>Reading week</w:t>
            </w:r>
          </w:p>
          <w:p w14:paraId="4F651438" w14:textId="77777777" w:rsidR="00C64097" w:rsidRDefault="00C64097" w:rsidP="00C64097">
            <w:pPr>
              <w:numPr>
                <w:ilvl w:val="0"/>
                <w:numId w:val="1"/>
              </w:numPr>
              <w:ind w:left="0" w:hanging="2"/>
              <w:textDirection w:val="lrTb"/>
            </w:pPr>
            <w:r>
              <w:t>Exam</w:t>
            </w:r>
          </w:p>
          <w:p w14:paraId="73C57AC3" w14:textId="77777777" w:rsidR="00C64097" w:rsidRDefault="00C64097" w:rsidP="00C64097">
            <w:pPr>
              <w:ind w:left="0" w:hanging="2"/>
              <w:textDirection w:val="lrTb"/>
            </w:pPr>
          </w:p>
          <w:p w14:paraId="73DA83AC" w14:textId="40BC4824" w:rsidR="00C64097" w:rsidRDefault="00C64097" w:rsidP="00C64097">
            <w:pPr>
              <w:ind w:left="0" w:hanging="2"/>
              <w:textDirection w:val="lrTb"/>
            </w:pPr>
            <w:r>
              <w:rPr>
                <w:i/>
              </w:rPr>
              <w:t>Practical classes</w:t>
            </w:r>
          </w:p>
          <w:p w14:paraId="20FA5A64" w14:textId="77777777" w:rsidR="00C64097" w:rsidRDefault="00C64097" w:rsidP="00C64097">
            <w:pPr>
              <w:widowControl/>
              <w:pBdr>
                <w:top w:val="nil"/>
                <w:left w:val="nil"/>
                <w:bottom w:val="nil"/>
                <w:right w:val="nil"/>
                <w:between w:val="nil"/>
              </w:pBdr>
              <w:spacing w:line="240" w:lineRule="auto"/>
              <w:ind w:left="0" w:hanging="2"/>
              <w:textDirection w:val="lrTb"/>
              <w:rPr>
                <w:color w:val="000000"/>
                <w:sz w:val="24"/>
                <w:szCs w:val="24"/>
              </w:rPr>
            </w:pPr>
            <w:r>
              <w:rPr>
                <w:color w:val="000000"/>
              </w:rPr>
              <w:t>Each lecture is followed by seminars during which students present their research on chosen topics. These presentations also represent the basis of their academic essays. </w:t>
            </w:r>
          </w:p>
          <w:p w14:paraId="3F6A8060" w14:textId="77777777" w:rsidR="00C64097" w:rsidRDefault="00C64097" w:rsidP="00C64097">
            <w:pPr>
              <w:ind w:left="0" w:hanging="2"/>
              <w:textDirection w:val="lrTb"/>
            </w:pPr>
          </w:p>
        </w:tc>
      </w:tr>
      <w:tr w:rsidR="00C64097" w14:paraId="71128495"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3613E76E" w14:textId="3BE0F8F9" w:rsidR="00C64097" w:rsidRDefault="00C64097" w:rsidP="00C64097">
            <w:pPr>
              <w:ind w:left="0" w:hanging="2"/>
              <w:textDirection w:val="lrTb"/>
            </w:pPr>
            <w:r>
              <w:rPr>
                <w:b/>
              </w:rPr>
              <w:t>Literature</w:t>
            </w:r>
          </w:p>
          <w:p w14:paraId="34A2284D" w14:textId="77777777" w:rsidR="00C64097" w:rsidRDefault="00C64097" w:rsidP="00C64097">
            <w:pPr>
              <w:widowControl/>
              <w:ind w:left="0" w:hanging="2"/>
              <w:jc w:val="both"/>
              <w:textDirection w:val="lrTb"/>
            </w:pPr>
            <w:r>
              <w:rPr>
                <w:color w:val="000000"/>
              </w:rPr>
              <w:t xml:space="preserve">Peoples, Columba, and Nick Vaughan Williams. 2015/2021. </w:t>
            </w:r>
            <w:r>
              <w:rPr>
                <w:i/>
                <w:color w:val="000000"/>
              </w:rPr>
              <w:t>Critical Security Studies: An Introduction</w:t>
            </w:r>
            <w:r>
              <w:rPr>
                <w:color w:val="000000"/>
              </w:rPr>
              <w:t xml:space="preserve">, 2nd and 3rd edition. London: Routledge; Bourbeau, Philippe. 2015. </w:t>
            </w:r>
            <w:r>
              <w:rPr>
                <w:i/>
                <w:color w:val="000000"/>
              </w:rPr>
              <w:t>Security: A Dialogue Across Disciplines</w:t>
            </w:r>
            <w:r>
              <w:rPr>
                <w:color w:val="000000"/>
              </w:rPr>
              <w:t xml:space="preserve">. Cambridge: Cambridge University Press; Gheciu, Alexandra, and William Wohlforth, eds. 2018. </w:t>
            </w:r>
            <w:r>
              <w:rPr>
                <w:i/>
                <w:color w:val="000000"/>
              </w:rPr>
              <w:t xml:space="preserve">The Oxford Handbook of International Security. </w:t>
            </w:r>
            <w:r>
              <w:rPr>
                <w:color w:val="000000"/>
              </w:rPr>
              <w:t xml:space="preserve">Oxford: Oxford University Press; </w:t>
            </w:r>
            <w:r>
              <w:rPr>
                <w:color w:val="222222"/>
                <w:highlight w:val="white"/>
              </w:rPr>
              <w:t>Williams, Paul D., ed. 2012. </w:t>
            </w:r>
            <w:r>
              <w:rPr>
                <w:i/>
                <w:color w:val="222222"/>
                <w:highlight w:val="white"/>
              </w:rPr>
              <w:t>Security Studies: An Introduction</w:t>
            </w:r>
            <w:r>
              <w:rPr>
                <w:color w:val="222222"/>
                <w:highlight w:val="white"/>
              </w:rPr>
              <w:t xml:space="preserve">. Booth, Ken. 2007. </w:t>
            </w:r>
            <w:r>
              <w:rPr>
                <w:i/>
                <w:color w:val="222222"/>
                <w:highlight w:val="white"/>
              </w:rPr>
              <w:t xml:space="preserve">Theory of World Security. </w:t>
            </w:r>
            <w:r>
              <w:rPr>
                <w:color w:val="222222"/>
                <w:highlight w:val="white"/>
              </w:rPr>
              <w:t xml:space="preserve">Cambridge: Cambridge University Press. Klotz, Audie, and Deepa Prakash, eds. 2008. </w:t>
            </w:r>
            <w:r>
              <w:rPr>
                <w:i/>
                <w:color w:val="222222"/>
                <w:highlight w:val="white"/>
              </w:rPr>
              <w:t xml:space="preserve">Qualitative Methods in International Relations: A Pluralist Guide. </w:t>
            </w:r>
            <w:r>
              <w:rPr>
                <w:color w:val="222222"/>
                <w:highlight w:val="white"/>
              </w:rPr>
              <w:t xml:space="preserve">Houndmills: Palgrave Macmillan; London: Routledge; Fierke, K. M. 2015. </w:t>
            </w:r>
            <w:r>
              <w:rPr>
                <w:i/>
                <w:color w:val="222222"/>
                <w:highlight w:val="white"/>
              </w:rPr>
              <w:t xml:space="preserve">Critical Approaches to International Security, </w:t>
            </w:r>
            <w:r>
              <w:rPr>
                <w:color w:val="222222"/>
                <w:highlight w:val="white"/>
              </w:rPr>
              <w:t xml:space="preserve">2nd edition. Cambridge: Polity Press; Shepherd, Laura J, ed. 2013. </w:t>
            </w:r>
            <w:r>
              <w:rPr>
                <w:i/>
                <w:color w:val="222222"/>
                <w:highlight w:val="white"/>
              </w:rPr>
              <w:t>Critical Approaches to Security: An Introduction to Theories and Methods</w:t>
            </w:r>
            <w:r>
              <w:rPr>
                <w:color w:val="222222"/>
                <w:highlight w:val="white"/>
              </w:rPr>
              <w:t>, 1st edition</w:t>
            </w:r>
            <w:r>
              <w:rPr>
                <w:i/>
                <w:color w:val="222222"/>
                <w:highlight w:val="white"/>
              </w:rPr>
              <w:t xml:space="preserve">. </w:t>
            </w:r>
            <w:r>
              <w:rPr>
                <w:color w:val="222222"/>
                <w:highlight w:val="white"/>
              </w:rPr>
              <w:t xml:space="preserve">London: Routledge. </w:t>
            </w:r>
            <w:r>
              <w:rPr>
                <w:i/>
                <w:color w:val="222222"/>
                <w:highlight w:val="white"/>
              </w:rPr>
              <w:t>  </w:t>
            </w:r>
            <w:r>
              <w:rPr>
                <w:color w:val="222222"/>
                <w:highlight w:val="white"/>
              </w:rPr>
              <w:t>Salter, Mark B., and Can E. Mutlu, eds. 2013. </w:t>
            </w:r>
            <w:r>
              <w:rPr>
                <w:i/>
                <w:color w:val="222222"/>
                <w:highlight w:val="white"/>
              </w:rPr>
              <w:t>Research Methods in Critical Security Studies: An Introduction</w:t>
            </w:r>
            <w:r>
              <w:rPr>
                <w:color w:val="222222"/>
                <w:highlight w:val="white"/>
              </w:rPr>
              <w:t>. London: Routledge; Aradau, Claudia, Jeff Huysnamns, Andrew Neal and Nadine Voelkner, eds. 2015. </w:t>
            </w:r>
            <w:r>
              <w:rPr>
                <w:i/>
                <w:color w:val="222222"/>
                <w:highlight w:val="white"/>
              </w:rPr>
              <w:t>Critical Security Methods: New Frameworks for Analysis</w:t>
            </w:r>
            <w:r>
              <w:rPr>
                <w:color w:val="222222"/>
                <w:highlight w:val="white"/>
              </w:rPr>
              <w:t>. London: Routledge.</w:t>
            </w:r>
          </w:p>
          <w:p w14:paraId="4BF0D46F" w14:textId="77777777" w:rsidR="00C64097" w:rsidRDefault="00C64097" w:rsidP="00C64097">
            <w:pPr>
              <w:ind w:left="0" w:hanging="2"/>
              <w:textDirection w:val="lrTb"/>
            </w:pPr>
          </w:p>
        </w:tc>
      </w:tr>
      <w:tr w:rsidR="00C64097" w14:paraId="619AC384" w14:textId="77777777" w:rsidTr="00C64097">
        <w:trPr>
          <w:trHeight w:val="426"/>
        </w:trPr>
        <w:tc>
          <w:tcPr>
            <w:tcW w:w="3794" w:type="dxa"/>
            <w:gridSpan w:val="2"/>
            <w:tcBorders>
              <w:top w:val="single" w:sz="4" w:space="0" w:color="000000"/>
              <w:left w:val="single" w:sz="4" w:space="0" w:color="000000"/>
              <w:bottom w:val="single" w:sz="4" w:space="0" w:color="000000"/>
              <w:right w:val="single" w:sz="4" w:space="0" w:color="000000"/>
            </w:tcBorders>
            <w:vAlign w:val="center"/>
          </w:tcPr>
          <w:p w14:paraId="6E75354C" w14:textId="77777777" w:rsidR="00C64097" w:rsidRDefault="00C64097" w:rsidP="00C64097">
            <w:pPr>
              <w:ind w:left="0" w:hanging="2"/>
              <w:textDirection w:val="lrTb"/>
            </w:pPr>
            <w:r>
              <w:rPr>
                <w:b/>
              </w:rPr>
              <w:lastRenderedPageBreak/>
              <w:t>Total classes of active teaching: 60</w:t>
            </w: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218A977A" w14:textId="315900DA" w:rsidR="00C64097" w:rsidRDefault="00C64097" w:rsidP="00C64097">
            <w:pPr>
              <w:ind w:left="0" w:hanging="2"/>
              <w:textDirection w:val="lrTb"/>
            </w:pPr>
            <w:r>
              <w:rPr>
                <w:b/>
              </w:rPr>
              <w:t>Theoretical classes: 30</w:t>
            </w:r>
          </w:p>
        </w:tc>
        <w:tc>
          <w:tcPr>
            <w:tcW w:w="3005" w:type="dxa"/>
            <w:gridSpan w:val="2"/>
            <w:tcBorders>
              <w:top w:val="single" w:sz="4" w:space="0" w:color="000000"/>
              <w:left w:val="single" w:sz="4" w:space="0" w:color="000000"/>
              <w:bottom w:val="single" w:sz="4" w:space="0" w:color="000000"/>
              <w:right w:val="single" w:sz="4" w:space="0" w:color="000000"/>
            </w:tcBorders>
            <w:vAlign w:val="center"/>
          </w:tcPr>
          <w:p w14:paraId="5CE1E854" w14:textId="77777777" w:rsidR="00C64097" w:rsidRDefault="00C64097" w:rsidP="00C64097">
            <w:pPr>
              <w:ind w:left="0" w:hanging="2"/>
              <w:textDirection w:val="lrTb"/>
            </w:pPr>
            <w:r>
              <w:rPr>
                <w:b/>
              </w:rPr>
              <w:t>Practical classes: 30</w:t>
            </w:r>
          </w:p>
        </w:tc>
      </w:tr>
      <w:tr w:rsidR="00C64097" w14:paraId="344B1D08" w14:textId="77777777" w:rsidTr="00C64097">
        <w:trPr>
          <w:trHeight w:val="599"/>
        </w:trPr>
        <w:tc>
          <w:tcPr>
            <w:tcW w:w="9917" w:type="dxa"/>
            <w:gridSpan w:val="6"/>
            <w:tcBorders>
              <w:top w:val="single" w:sz="4" w:space="0" w:color="000000"/>
              <w:left w:val="single" w:sz="4" w:space="0" w:color="000000"/>
              <w:bottom w:val="single" w:sz="4" w:space="0" w:color="000000"/>
              <w:right w:val="single" w:sz="4" w:space="0" w:color="000000"/>
            </w:tcBorders>
          </w:tcPr>
          <w:p w14:paraId="6B7B9E2B" w14:textId="77777777" w:rsidR="00C64097" w:rsidRDefault="00C64097" w:rsidP="00C64097">
            <w:pPr>
              <w:ind w:left="0" w:hanging="2"/>
              <w:textDirection w:val="lrTb"/>
              <w:rPr>
                <w:b/>
              </w:rPr>
            </w:pPr>
            <w:r>
              <w:rPr>
                <w:b/>
              </w:rPr>
              <w:t xml:space="preserve">Teaching methods: </w:t>
            </w:r>
          </w:p>
          <w:p w14:paraId="094B9977" w14:textId="006FD821" w:rsidR="000654F5" w:rsidRDefault="000654F5" w:rsidP="00C64097">
            <w:pPr>
              <w:ind w:left="0" w:hanging="2"/>
              <w:textDirection w:val="lrTb"/>
            </w:pPr>
            <w:r>
              <w:t>Lectures, seminars</w:t>
            </w:r>
          </w:p>
        </w:tc>
      </w:tr>
      <w:tr w:rsidR="00C64097" w14:paraId="2C4EC7F9" w14:textId="77777777" w:rsidTr="00C64097">
        <w:tc>
          <w:tcPr>
            <w:tcW w:w="9917" w:type="dxa"/>
            <w:gridSpan w:val="6"/>
            <w:tcBorders>
              <w:top w:val="single" w:sz="4" w:space="0" w:color="000000"/>
              <w:left w:val="single" w:sz="4" w:space="0" w:color="000000"/>
              <w:bottom w:val="single" w:sz="4" w:space="0" w:color="000000"/>
              <w:right w:val="single" w:sz="4" w:space="0" w:color="000000"/>
            </w:tcBorders>
          </w:tcPr>
          <w:p w14:paraId="40A59B97" w14:textId="77777777" w:rsidR="00C64097" w:rsidRDefault="00C64097" w:rsidP="00C64097">
            <w:pPr>
              <w:ind w:left="0" w:hanging="2"/>
              <w:textDirection w:val="lrTb"/>
            </w:pPr>
            <w:r>
              <w:rPr>
                <w:b/>
              </w:rPr>
              <w:t>Assessment of knowledge (maximum no. of points 100)</w:t>
            </w:r>
          </w:p>
        </w:tc>
      </w:tr>
      <w:tr w:rsidR="00C64097" w14:paraId="063763F3" w14:textId="77777777" w:rsidTr="00C64097">
        <w:tc>
          <w:tcPr>
            <w:tcW w:w="3671" w:type="dxa"/>
            <w:tcBorders>
              <w:top w:val="single" w:sz="4" w:space="0" w:color="000000"/>
              <w:left w:val="single" w:sz="4" w:space="0" w:color="000000"/>
              <w:bottom w:val="single" w:sz="4" w:space="0" w:color="000000"/>
              <w:right w:val="single" w:sz="4" w:space="0" w:color="000000"/>
            </w:tcBorders>
          </w:tcPr>
          <w:p w14:paraId="655A664F" w14:textId="77777777" w:rsidR="00C64097" w:rsidRDefault="00C64097" w:rsidP="00C64097">
            <w:pPr>
              <w:ind w:left="0" w:hanging="2"/>
              <w:textDirection w:val="lrTb"/>
            </w:pPr>
            <w:r>
              <w:rPr>
                <w:b/>
              </w:rPr>
              <w:t>Pre-examination commitments</w:t>
            </w:r>
          </w:p>
        </w:tc>
        <w:tc>
          <w:tcPr>
            <w:tcW w:w="1785" w:type="dxa"/>
            <w:gridSpan w:val="2"/>
            <w:tcBorders>
              <w:top w:val="single" w:sz="4" w:space="0" w:color="000000"/>
              <w:left w:val="single" w:sz="4" w:space="0" w:color="000000"/>
              <w:bottom w:val="single" w:sz="4" w:space="0" w:color="000000"/>
              <w:right w:val="single" w:sz="4" w:space="0" w:color="000000"/>
            </w:tcBorders>
          </w:tcPr>
          <w:p w14:paraId="5813D025" w14:textId="77777777" w:rsidR="00C64097" w:rsidRDefault="00C64097" w:rsidP="00C64097">
            <w:pPr>
              <w:ind w:left="0" w:hanging="2"/>
              <w:textDirection w:val="lrTb"/>
            </w:pPr>
            <w:r>
              <w:rPr>
                <w:b/>
              </w:rPr>
              <w:t>points</w:t>
            </w:r>
          </w:p>
        </w:tc>
        <w:tc>
          <w:tcPr>
            <w:tcW w:w="3065" w:type="dxa"/>
            <w:gridSpan w:val="2"/>
            <w:tcBorders>
              <w:top w:val="single" w:sz="4" w:space="0" w:color="000000"/>
              <w:left w:val="single" w:sz="4" w:space="0" w:color="000000"/>
              <w:bottom w:val="single" w:sz="4" w:space="0" w:color="000000"/>
              <w:right w:val="single" w:sz="4" w:space="0" w:color="000000"/>
            </w:tcBorders>
          </w:tcPr>
          <w:p w14:paraId="0B25076B" w14:textId="77777777" w:rsidR="00C64097" w:rsidRDefault="00C64097" w:rsidP="00C64097">
            <w:pPr>
              <w:ind w:left="0" w:hanging="2"/>
              <w:textDirection w:val="lrTb"/>
            </w:pPr>
            <w:r>
              <w:t xml:space="preserve">Final examination </w:t>
            </w:r>
          </w:p>
        </w:tc>
        <w:tc>
          <w:tcPr>
            <w:tcW w:w="1396" w:type="dxa"/>
            <w:tcBorders>
              <w:top w:val="single" w:sz="4" w:space="0" w:color="000000"/>
              <w:left w:val="single" w:sz="4" w:space="0" w:color="000000"/>
              <w:bottom w:val="single" w:sz="4" w:space="0" w:color="000000"/>
              <w:right w:val="single" w:sz="4" w:space="0" w:color="000000"/>
            </w:tcBorders>
          </w:tcPr>
          <w:p w14:paraId="269A3D88" w14:textId="77777777" w:rsidR="00C64097" w:rsidRDefault="00C64097" w:rsidP="00C64097">
            <w:pPr>
              <w:ind w:left="0" w:hanging="2"/>
              <w:textDirection w:val="lrTb"/>
            </w:pPr>
            <w:r>
              <w:rPr>
                <w:i/>
              </w:rPr>
              <w:t>points</w:t>
            </w:r>
          </w:p>
        </w:tc>
      </w:tr>
      <w:tr w:rsidR="00C64097" w14:paraId="4C7AFBB4" w14:textId="77777777" w:rsidTr="00C64097">
        <w:tc>
          <w:tcPr>
            <w:tcW w:w="3671" w:type="dxa"/>
            <w:tcBorders>
              <w:top w:val="single" w:sz="4" w:space="0" w:color="000000"/>
              <w:left w:val="single" w:sz="4" w:space="0" w:color="000000"/>
              <w:bottom w:val="single" w:sz="4" w:space="0" w:color="000000"/>
              <w:right w:val="single" w:sz="4" w:space="0" w:color="000000"/>
            </w:tcBorders>
          </w:tcPr>
          <w:p w14:paraId="16021714" w14:textId="77777777" w:rsidR="00C64097" w:rsidRDefault="00C64097" w:rsidP="00C64097">
            <w:pPr>
              <w:ind w:left="0" w:hanging="2"/>
              <w:textDirection w:val="lrTb"/>
            </w:pPr>
            <w:r>
              <w:t>activity</w:t>
            </w:r>
          </w:p>
        </w:tc>
        <w:tc>
          <w:tcPr>
            <w:tcW w:w="1785" w:type="dxa"/>
            <w:gridSpan w:val="2"/>
            <w:tcBorders>
              <w:top w:val="single" w:sz="4" w:space="0" w:color="000000"/>
              <w:left w:val="single" w:sz="4" w:space="0" w:color="000000"/>
              <w:bottom w:val="single" w:sz="4" w:space="0" w:color="000000"/>
              <w:right w:val="single" w:sz="4" w:space="0" w:color="000000"/>
            </w:tcBorders>
          </w:tcPr>
          <w:p w14:paraId="693C1DC6" w14:textId="77777777" w:rsidR="00C64097" w:rsidRDefault="00C64097" w:rsidP="00C64097">
            <w:pPr>
              <w:tabs>
                <w:tab w:val="left" w:pos="1200"/>
              </w:tabs>
              <w:ind w:left="0" w:hanging="2"/>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424F2805" w14:textId="77777777" w:rsidR="00C64097" w:rsidRDefault="00C64097" w:rsidP="00C64097">
            <w:pPr>
              <w:ind w:left="0" w:hanging="2"/>
              <w:textDirection w:val="lrTb"/>
            </w:pPr>
            <w:r>
              <w:t>written test</w:t>
            </w:r>
          </w:p>
        </w:tc>
        <w:tc>
          <w:tcPr>
            <w:tcW w:w="1396" w:type="dxa"/>
            <w:tcBorders>
              <w:top w:val="single" w:sz="4" w:space="0" w:color="000000"/>
              <w:left w:val="single" w:sz="4" w:space="0" w:color="000000"/>
              <w:bottom w:val="single" w:sz="4" w:space="0" w:color="000000"/>
              <w:right w:val="single" w:sz="4" w:space="0" w:color="000000"/>
            </w:tcBorders>
          </w:tcPr>
          <w:p w14:paraId="71BF21A7" w14:textId="77777777" w:rsidR="00C64097" w:rsidRDefault="00C64097" w:rsidP="00C64097">
            <w:pPr>
              <w:ind w:left="0" w:hanging="2"/>
              <w:textDirection w:val="lrTb"/>
            </w:pPr>
            <w:r>
              <w:rPr>
                <w:b/>
              </w:rPr>
              <w:t>30</w:t>
            </w:r>
          </w:p>
        </w:tc>
      </w:tr>
      <w:tr w:rsidR="00C64097" w14:paraId="7C626042" w14:textId="77777777" w:rsidTr="00C64097">
        <w:tc>
          <w:tcPr>
            <w:tcW w:w="3671" w:type="dxa"/>
            <w:tcBorders>
              <w:top w:val="single" w:sz="4" w:space="0" w:color="000000"/>
              <w:left w:val="single" w:sz="4" w:space="0" w:color="000000"/>
              <w:bottom w:val="single" w:sz="4" w:space="0" w:color="000000"/>
              <w:right w:val="single" w:sz="4" w:space="0" w:color="000000"/>
            </w:tcBorders>
          </w:tcPr>
          <w:p w14:paraId="251701EF" w14:textId="77777777" w:rsidR="00C64097" w:rsidRDefault="00C64097" w:rsidP="00C64097">
            <w:pPr>
              <w:ind w:left="0" w:hanging="2"/>
              <w:textDirection w:val="lrTb"/>
            </w:pPr>
            <w:r>
              <w:t>practical teaching</w:t>
            </w:r>
          </w:p>
        </w:tc>
        <w:tc>
          <w:tcPr>
            <w:tcW w:w="1785" w:type="dxa"/>
            <w:gridSpan w:val="2"/>
            <w:tcBorders>
              <w:top w:val="single" w:sz="4" w:space="0" w:color="000000"/>
              <w:left w:val="single" w:sz="4" w:space="0" w:color="000000"/>
              <w:bottom w:val="single" w:sz="4" w:space="0" w:color="000000"/>
              <w:right w:val="single" w:sz="4" w:space="0" w:color="000000"/>
            </w:tcBorders>
          </w:tcPr>
          <w:p w14:paraId="7EB1E39F" w14:textId="77777777" w:rsidR="00C64097" w:rsidRDefault="00C64097" w:rsidP="00C64097">
            <w:pPr>
              <w:ind w:left="0" w:hanging="2"/>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097634A4" w14:textId="77777777" w:rsidR="00C64097" w:rsidRDefault="00C64097" w:rsidP="00C64097">
            <w:pPr>
              <w:ind w:left="0" w:hanging="2"/>
              <w:textDirection w:val="lrTb"/>
            </w:pPr>
            <w:r>
              <w:t>oral examination</w:t>
            </w:r>
          </w:p>
        </w:tc>
        <w:tc>
          <w:tcPr>
            <w:tcW w:w="1396" w:type="dxa"/>
            <w:tcBorders>
              <w:top w:val="single" w:sz="4" w:space="0" w:color="000000"/>
              <w:left w:val="single" w:sz="4" w:space="0" w:color="000000"/>
              <w:bottom w:val="single" w:sz="4" w:space="0" w:color="000000"/>
              <w:right w:val="single" w:sz="4" w:space="0" w:color="000000"/>
            </w:tcBorders>
          </w:tcPr>
          <w:p w14:paraId="16CE1E05" w14:textId="77777777" w:rsidR="00C64097" w:rsidRDefault="00C64097" w:rsidP="00C64097">
            <w:pPr>
              <w:ind w:left="0" w:hanging="2"/>
              <w:textDirection w:val="lrTb"/>
            </w:pPr>
          </w:p>
        </w:tc>
      </w:tr>
      <w:tr w:rsidR="00C64097" w14:paraId="4A6851F1" w14:textId="77777777" w:rsidTr="00C64097">
        <w:tc>
          <w:tcPr>
            <w:tcW w:w="3671" w:type="dxa"/>
            <w:tcBorders>
              <w:top w:val="single" w:sz="4" w:space="0" w:color="000000"/>
              <w:left w:val="single" w:sz="4" w:space="0" w:color="000000"/>
              <w:bottom w:val="single" w:sz="4" w:space="0" w:color="000000"/>
              <w:right w:val="single" w:sz="4" w:space="0" w:color="000000"/>
            </w:tcBorders>
          </w:tcPr>
          <w:p w14:paraId="6513B7E4" w14:textId="77777777" w:rsidR="00C64097" w:rsidRDefault="00C64097" w:rsidP="00C64097">
            <w:pPr>
              <w:ind w:left="0" w:hanging="2"/>
              <w:textDirection w:val="lrTb"/>
            </w:pPr>
            <w:r>
              <w:t>colloquium(a)</w:t>
            </w:r>
          </w:p>
        </w:tc>
        <w:tc>
          <w:tcPr>
            <w:tcW w:w="1785" w:type="dxa"/>
            <w:gridSpan w:val="2"/>
            <w:tcBorders>
              <w:top w:val="single" w:sz="4" w:space="0" w:color="000000"/>
              <w:left w:val="single" w:sz="4" w:space="0" w:color="000000"/>
              <w:bottom w:val="single" w:sz="4" w:space="0" w:color="000000"/>
              <w:right w:val="single" w:sz="4" w:space="0" w:color="000000"/>
            </w:tcBorders>
          </w:tcPr>
          <w:p w14:paraId="40827FAB" w14:textId="77777777" w:rsidR="00C64097" w:rsidRDefault="00C64097" w:rsidP="00C64097">
            <w:pPr>
              <w:ind w:left="0" w:hanging="2"/>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696894CA" w14:textId="77777777" w:rsidR="00C64097" w:rsidRDefault="00C64097" w:rsidP="00C64097">
            <w:pPr>
              <w:ind w:left="0" w:hanging="2"/>
              <w:textDirection w:val="lrTb"/>
            </w:pPr>
            <w:r>
              <w:t xml:space="preserve">academic essay </w:t>
            </w:r>
          </w:p>
        </w:tc>
        <w:tc>
          <w:tcPr>
            <w:tcW w:w="1396" w:type="dxa"/>
            <w:tcBorders>
              <w:top w:val="single" w:sz="4" w:space="0" w:color="000000"/>
              <w:left w:val="single" w:sz="4" w:space="0" w:color="000000"/>
              <w:bottom w:val="single" w:sz="4" w:space="0" w:color="000000"/>
              <w:right w:val="single" w:sz="4" w:space="0" w:color="000000"/>
            </w:tcBorders>
          </w:tcPr>
          <w:p w14:paraId="6C210922" w14:textId="77777777" w:rsidR="00C64097" w:rsidRDefault="00C64097" w:rsidP="00C64097">
            <w:pPr>
              <w:ind w:left="0" w:hanging="2"/>
              <w:textDirection w:val="lrTb"/>
            </w:pPr>
            <w:r>
              <w:rPr>
                <w:b/>
              </w:rPr>
              <w:t>50</w:t>
            </w:r>
          </w:p>
        </w:tc>
      </w:tr>
      <w:tr w:rsidR="00C64097" w14:paraId="334856F8" w14:textId="77777777" w:rsidTr="00C64097">
        <w:tc>
          <w:tcPr>
            <w:tcW w:w="3671" w:type="dxa"/>
            <w:tcBorders>
              <w:top w:val="single" w:sz="4" w:space="0" w:color="000000"/>
              <w:left w:val="single" w:sz="4" w:space="0" w:color="000000"/>
              <w:bottom w:val="single" w:sz="4" w:space="0" w:color="000000"/>
              <w:right w:val="single" w:sz="4" w:space="0" w:color="000000"/>
            </w:tcBorders>
          </w:tcPr>
          <w:p w14:paraId="1F1C564E" w14:textId="77777777" w:rsidR="00C64097" w:rsidRDefault="00C64097" w:rsidP="00C64097">
            <w:pPr>
              <w:ind w:left="0" w:hanging="2"/>
              <w:textDirection w:val="lrTb"/>
            </w:pPr>
            <w:r>
              <w:t>seminar(s)</w:t>
            </w:r>
          </w:p>
        </w:tc>
        <w:tc>
          <w:tcPr>
            <w:tcW w:w="1785" w:type="dxa"/>
            <w:gridSpan w:val="2"/>
            <w:tcBorders>
              <w:top w:val="single" w:sz="4" w:space="0" w:color="000000"/>
              <w:left w:val="single" w:sz="4" w:space="0" w:color="000000"/>
              <w:bottom w:val="single" w:sz="4" w:space="0" w:color="000000"/>
              <w:right w:val="single" w:sz="4" w:space="0" w:color="000000"/>
            </w:tcBorders>
          </w:tcPr>
          <w:p w14:paraId="1D27BA51" w14:textId="77777777" w:rsidR="00C64097" w:rsidRDefault="00C64097" w:rsidP="00C64097">
            <w:pPr>
              <w:ind w:left="0" w:hanging="2"/>
              <w:textDirection w:val="lrTb"/>
            </w:pPr>
            <w:r>
              <w:rPr>
                <w:b/>
              </w:rPr>
              <w:t>20</w:t>
            </w:r>
          </w:p>
        </w:tc>
        <w:tc>
          <w:tcPr>
            <w:tcW w:w="3065" w:type="dxa"/>
            <w:gridSpan w:val="2"/>
            <w:tcBorders>
              <w:top w:val="single" w:sz="4" w:space="0" w:color="000000"/>
              <w:left w:val="single" w:sz="4" w:space="0" w:color="000000"/>
              <w:bottom w:val="single" w:sz="4" w:space="0" w:color="000000"/>
              <w:right w:val="single" w:sz="4" w:space="0" w:color="000000"/>
            </w:tcBorders>
          </w:tcPr>
          <w:p w14:paraId="18236FF3" w14:textId="77777777" w:rsidR="00C64097" w:rsidRDefault="00C64097" w:rsidP="00C64097">
            <w:pPr>
              <w:ind w:left="0" w:hanging="2"/>
              <w:textDirection w:val="lrTb"/>
            </w:pPr>
          </w:p>
        </w:tc>
        <w:tc>
          <w:tcPr>
            <w:tcW w:w="1396" w:type="dxa"/>
            <w:tcBorders>
              <w:top w:val="single" w:sz="4" w:space="0" w:color="000000"/>
              <w:left w:val="single" w:sz="4" w:space="0" w:color="000000"/>
              <w:bottom w:val="single" w:sz="4" w:space="0" w:color="000000"/>
              <w:right w:val="single" w:sz="4" w:space="0" w:color="000000"/>
            </w:tcBorders>
          </w:tcPr>
          <w:p w14:paraId="228A6B6F" w14:textId="77777777" w:rsidR="00C64097" w:rsidRDefault="00C64097" w:rsidP="00C64097">
            <w:pPr>
              <w:ind w:left="0" w:hanging="2"/>
              <w:textDirection w:val="lrTb"/>
            </w:pPr>
          </w:p>
        </w:tc>
      </w:tr>
    </w:tbl>
    <w:p w14:paraId="00000001" w14:textId="77777777" w:rsidR="00711926" w:rsidRDefault="00711926">
      <w:pPr>
        <w:pBdr>
          <w:top w:val="nil"/>
          <w:left w:val="nil"/>
          <w:bottom w:val="nil"/>
          <w:right w:val="nil"/>
          <w:between w:val="nil"/>
        </w:pBdr>
        <w:spacing w:line="276" w:lineRule="auto"/>
        <w:ind w:left="0" w:hanging="2"/>
        <w:rPr>
          <w:rFonts w:ascii="Arial" w:eastAsia="Arial" w:hAnsi="Arial" w:cs="Arial"/>
          <w:color w:val="000000"/>
          <w:sz w:val="22"/>
          <w:szCs w:val="22"/>
        </w:rPr>
      </w:pPr>
    </w:p>
    <w:p w14:paraId="0000008E" w14:textId="77777777" w:rsidR="00711926" w:rsidRDefault="00711926">
      <w:pPr>
        <w:pBdr>
          <w:top w:val="nil"/>
          <w:left w:val="nil"/>
          <w:bottom w:val="nil"/>
          <w:right w:val="nil"/>
          <w:between w:val="nil"/>
        </w:pBdr>
        <w:spacing w:line="276" w:lineRule="auto"/>
        <w:ind w:left="0" w:hanging="2"/>
        <w:rPr>
          <w:rFonts w:ascii="Arial" w:eastAsia="Arial" w:hAnsi="Arial" w:cs="Arial"/>
          <w:color w:val="000000"/>
          <w:sz w:val="22"/>
          <w:szCs w:val="22"/>
        </w:rPr>
      </w:pPr>
    </w:p>
    <w:p w14:paraId="0000008F" w14:textId="77777777" w:rsidR="00711926" w:rsidRDefault="00711926">
      <w:pPr>
        <w:ind w:left="0" w:hanging="2"/>
      </w:pPr>
    </w:p>
    <w:p w14:paraId="00000090" w14:textId="77777777" w:rsidR="00711926" w:rsidRDefault="00711926">
      <w:pPr>
        <w:ind w:left="0" w:hanging="2"/>
      </w:pPr>
    </w:p>
    <w:sectPr w:rsidR="00711926">
      <w:pgSz w:w="11906" w:h="16838"/>
      <w:pgMar w:top="1417" w:right="1418" w:bottom="1417"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F9405B"/>
    <w:multiLevelType w:val="multilevel"/>
    <w:tmpl w:val="5B3EABE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926"/>
    <w:rsid w:val="000654F5"/>
    <w:rsid w:val="00711926"/>
    <w:rsid w:val="00C640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93D332B"/>
  <w15:docId w15:val="{85ABBC92-0D40-5B46-93B0-13AA9978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r-Latn" w:eastAsia="en-GB" w:bidi="ar-SA"/>
      </w:rPr>
    </w:rPrDefault>
    <w:pPrDefault>
      <w:pPr>
        <w:widowControl w:val="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line="1" w:lineRule="atLeast"/>
      <w:ind w:leftChars="-1" w:left="-1" w:hangingChars="1"/>
      <w:textDirection w:val="btLr"/>
      <w:textAlignment w:val="top"/>
      <w:outlineLvl w:val="0"/>
    </w:pPr>
    <w:rPr>
      <w:position w:val="-1"/>
      <w:lang w:eastAsia="sr-Latn"/>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noteText">
    <w:name w:val="footnote text"/>
    <w:basedOn w:val="Normal"/>
    <w:pPr>
      <w:widowControl/>
      <w:autoSpaceDE/>
      <w:autoSpaceDN/>
      <w:adjustRightInd/>
      <w:jc w:val="both"/>
    </w:pPr>
    <w:rPr>
      <w:lang w:val="de-DE" w:eastAsia="en-US"/>
    </w:rPr>
  </w:style>
  <w:style w:type="character" w:customStyle="1" w:styleId="FootnoteTextChar">
    <w:name w:val="Footnote Text Char"/>
    <w:rPr>
      <w:w w:val="100"/>
      <w:position w:val="-1"/>
      <w:effect w:val="none"/>
      <w:vertAlign w:val="baseline"/>
      <w:cs w:val="0"/>
      <w:em w:val="none"/>
      <w:lang w:val="de-DE"/>
    </w:rPr>
  </w:style>
  <w:style w:type="character" w:customStyle="1" w:styleId="sredinanaslov11">
    <w:name w:val="sredinanaslov11"/>
    <w:rPr>
      <w:rFonts w:ascii="Times New Roman" w:hAnsi="Times New Roman"/>
      <w:w w:val="100"/>
      <w:position w:val="-1"/>
      <w:sz w:val="20"/>
      <w:effect w:val="none"/>
      <w:vertAlign w:val="baseline"/>
      <w:cs w:val="0"/>
      <w:em w:val="none"/>
    </w:rPr>
  </w:style>
  <w:style w:type="paragraph" w:styleId="BodyText">
    <w:name w:val="Body Text"/>
    <w:basedOn w:val="Normal"/>
    <w:pPr>
      <w:widowControl/>
      <w:autoSpaceDE/>
      <w:autoSpaceDN/>
      <w:adjustRightInd/>
    </w:pPr>
    <w:rPr>
      <w:sz w:val="24"/>
      <w:lang w:val="en-GB" w:eastAsia="en-US"/>
    </w:rPr>
  </w:style>
  <w:style w:type="character" w:customStyle="1" w:styleId="BodyTextChar">
    <w:name w:val="Body Text Char"/>
    <w:rPr>
      <w:w w:val="100"/>
      <w:position w:val="-1"/>
      <w:sz w:val="24"/>
      <w:effect w:val="none"/>
      <w:vertAlign w:val="baseline"/>
      <w:cs w:val="0"/>
      <w:em w:val="none"/>
      <w:lang w:val="en-GB"/>
    </w:rPr>
  </w:style>
  <w:style w:type="character" w:styleId="Strong">
    <w:name w:val="Strong"/>
    <w:rPr>
      <w:b/>
      <w:w w:val="100"/>
      <w:position w:val="-1"/>
      <w:effect w:val="none"/>
      <w:vertAlign w:val="baseline"/>
      <w:cs w:val="0"/>
      <w:em w:val="none"/>
    </w:rPr>
  </w:style>
  <w:style w:type="paragraph" w:styleId="NormalWeb">
    <w:name w:val="Normal (Web)"/>
    <w:basedOn w:val="Normal"/>
    <w:qFormat/>
    <w:pPr>
      <w:widowControl/>
      <w:autoSpaceDE/>
      <w:autoSpaceDN/>
      <w:adjustRightInd/>
      <w:spacing w:before="100" w:beforeAutospacing="1" w:after="100" w:afterAutospacing="1"/>
    </w:pPr>
    <w:rPr>
      <w:sz w:val="24"/>
      <w:szCs w:val="24"/>
      <w:lang w:val="en-GB"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0Z4lesVBAJz7zUCG5LoRnuJ++A==">AMUW2mWPn+TxJ7dpFA++kAi7Zog1R8d8I89pdVvh5gHJD74ajGFtcjgWZrYGk9LWO1MROgsh0KNN9yo0fS+4hfipg61PFGBNFAePWOPL3PMa7xPyHXRRlJk=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3182</Characters>
  <Application>Microsoft Office Word</Application>
  <DocSecurity>0</DocSecurity>
  <Lines>26</Lines>
  <Paragraphs>7</Paragraphs>
  <ScaleCrop>false</ScaleCrop>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Pentium4</dc:creator>
  <cp:lastModifiedBy>Nemanja Dzuverovic</cp:lastModifiedBy>
  <cp:revision>3</cp:revision>
  <dcterms:created xsi:type="dcterms:W3CDTF">2021-04-25T21:38:00Z</dcterms:created>
  <dcterms:modified xsi:type="dcterms:W3CDTF">2021-06-13T16:34:00Z</dcterms:modified>
</cp:coreProperties>
</file>